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ROOECM0004ZPB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61879371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5125784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75235857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1.542,67</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Alba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74.55%</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57199013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25.45%</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1.542,67</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B">
            <w:pPr>
              <w:spacing w:after="0" w:lineRule="auto"/>
              <w:rPr>
                <w:i w:val="1"/>
                <w:iCs w:val="1"/>
                <w:sz w:val="22"/>
                <w:szCs w:val="22"/>
              </w:rPr>
            </w:pPr>
            <w:r w:rsidDel="00000000" w:rsidR="00000000" w:rsidRPr="00000000">
              <w:rPr>
                <w:rtl w:val="0"/>
              </w:rPr>
            </w:r>
          </w:p>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D">
            <w:pPr>
              <w:spacing w:after="0" w:lineRule="auto"/>
              <w:rPr>
                <w:i w:val="1"/>
                <w:iCs w:val="1"/>
              </w:rPr>
            </w:pPr>
            <w:r w:rsidDel="00000000" w:rsidR="00000000" w:rsidRPr="00000000">
              <w:rPr>
                <w:i w:val="1"/>
                <w:iCs w:val="1"/>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sz w:val="22"/>
                <w:szCs w:val="22"/>
                <w:rtl w:val="0"/>
              </w:rPr>
              <w:t xml:space="preserve">:</w:t>
            </w:r>
            <w:r w:rsidDel="00000000" w:rsidR="00000000" w:rsidRPr="00000000">
              <w:rPr>
                <w:rtl w:val="0"/>
              </w:rPr>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Acilius sulcatus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Aeshna subarctica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Gerris lacustris</w:t>
            </w:r>
          </w:p>
          <w:p w:rsidR="00000000" w:rsidDel="00000000" w:rsidP="00000000" w:rsidRDefault="00000000" w:rsidRPr="00000000" w14:paraId="00000087">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5910 Zootoca vivipara</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2473 Vipera berus </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6091 Zamenis longissimus</w:t>
            </w:r>
          </w:p>
          <w:p w:rsidR="00000000" w:rsidDel="00000000" w:rsidP="00000000" w:rsidRDefault="00000000" w:rsidRPr="00000000" w14:paraId="00000091">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95">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1327 Eptesicus serotinus</w:t>
              <w:br w:type="textWrapping"/>
              <w:t xml:space="preserve">1324 Myotis myotis</w:t>
              <w:br w:type="textWrapping"/>
              <w:t xml:space="preserve">1330 Myotis mystacinus</w:t>
              <w:br w:type="textWrapping"/>
              <w:t xml:space="preserve">1322 Myotis nattereri</w:t>
              <w:br w:type="textWrapping"/>
              <w:t xml:space="preserve">1312 Nyctalus noctula</w:t>
              <w:br w:type="textWrapping"/>
              <w:t xml:space="preserve">1309 Pipistrellus pipistrellus</w:t>
            </w:r>
          </w:p>
          <w:p w:rsidR="00000000" w:rsidDel="00000000" w:rsidP="00000000" w:rsidRDefault="00000000" w:rsidRPr="00000000" w14:paraId="00000097">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A072 Pernis apivorus</w:t>
              <w:br w:type="textWrapping"/>
              <w:t xml:space="preserve">A092 Hieraaetus pennatus</w:t>
              <w:br w:type="textWrapping"/>
              <w:t xml:space="preserve">A098 Falco columbarius</w:t>
              <w:br w:type="textWrapping"/>
              <w:t xml:space="preserve">A104 Bonasa bonasia</w:t>
              <w:br w:type="textWrapping"/>
              <w:t xml:space="preserve">A224 Caprimulgus europaeus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A238 Dendrocopos medius</w:t>
              <w:br w:type="textWrapping"/>
              <w:t xml:space="preserve">A239 Dendrocopos leucotos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A246 Lullula arborea</w:t>
              <w:br w:type="textWrapping"/>
              <w:t xml:space="preserve">A320 Ficedula parva</w:t>
              <w:br w:type="textWrapping"/>
              <w:t xml:space="preserve">A321 Ficedula albicollis</w:t>
              <w:br w:type="textWrapping"/>
              <w:t xml:space="preserve">A429 Dendrocopos syriacus</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sz w:val="22"/>
                <w:szCs w:val="22"/>
                <w:rtl w:val="0"/>
              </w:rPr>
              <w:t xml:space="preserve">A030 </w:t>
            </w:r>
            <w:r w:rsidDel="00000000" w:rsidR="00000000" w:rsidRPr="00000000">
              <w:rPr>
                <w:i w:val="1"/>
                <w:iCs w:val="1"/>
                <w:sz w:val="22"/>
                <w:szCs w:val="22"/>
                <w:rtl w:val="0"/>
              </w:rPr>
              <w:t xml:space="preserve">Ciconia nigra</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sz w:val="22"/>
                <w:szCs w:val="22"/>
                <w:rtl w:val="0"/>
              </w:rPr>
              <w:t xml:space="preserve">A236 </w:t>
            </w:r>
            <w:r w:rsidDel="00000000" w:rsidR="00000000" w:rsidRPr="00000000">
              <w:rPr>
                <w:i w:val="1"/>
                <w:iCs w:val="1"/>
                <w:sz w:val="22"/>
                <w:szCs w:val="22"/>
                <w:rtl w:val="0"/>
              </w:rPr>
              <w:t xml:space="preserve">Dryocopus martius</w:t>
            </w: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sz w:val="22"/>
                <w:szCs w:val="22"/>
                <w:rtl w:val="0"/>
              </w:rPr>
              <w:t xml:space="preserve">A220 </w:t>
            </w:r>
            <w:r w:rsidDel="00000000" w:rsidR="00000000" w:rsidRPr="00000000">
              <w:rPr>
                <w:i w:val="1"/>
                <w:iCs w:val="1"/>
                <w:sz w:val="22"/>
                <w:szCs w:val="22"/>
                <w:rtl w:val="0"/>
              </w:rPr>
              <w:t xml:space="preserve">Strix uralensis</w:t>
            </w:r>
          </w:p>
          <w:p w:rsidR="00000000" w:rsidDel="00000000" w:rsidP="00000000" w:rsidRDefault="00000000" w:rsidRPr="00000000" w14:paraId="000000A0">
            <w:pPr>
              <w:spacing w:after="0" w:lineRule="auto"/>
              <w:rPr>
                <w:i w:val="1"/>
                <w:iCs w:val="1"/>
                <w:sz w:val="22"/>
                <w:szCs w:val="22"/>
              </w:rPr>
            </w:pPr>
            <w:r w:rsidDel="00000000" w:rsidR="00000000" w:rsidRPr="00000000">
              <w:rPr>
                <w:b w:val="1"/>
                <w:bCs w:val="1"/>
                <w:i w:val="1"/>
                <w:iCs w:val="1"/>
                <w:sz w:val="22"/>
                <w:szCs w:val="22"/>
                <w:rtl w:val="0"/>
              </w:rPr>
              <w:t xml:space="preserve">Plante</w:t>
            </w:r>
            <w:r w:rsidDel="00000000" w:rsidR="00000000" w:rsidRPr="00000000">
              <w:rPr>
                <w:i w:val="1"/>
                <w:iCs w:val="1"/>
                <w:sz w:val="22"/>
                <w:szCs w:val="22"/>
                <w:rtl w:val="0"/>
              </w:rPr>
              <w:t xml:space="preserve">:</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Andromeda polifolia</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1762 Arnica montana</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Carex limosa</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Carex magellanica</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Carex pauciflora</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Dactylorhiza cordigera subsp. siculorum</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Drosera intermedia</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Drosera rotundifolia</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Empetrum nigrum</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5105 Lycopodium clavatum</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Pedicularis limnogena</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Vaccinium microcarpum</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4091Crambe tataria</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Dictamnus albus</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Echium russicum</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Globularia punctata</w:t>
            </w:r>
          </w:p>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Jurinea mollis subsp. transsylvanica</w:t>
            </w:r>
          </w:p>
          <w:p w:rsidR="00000000" w:rsidDel="00000000" w:rsidP="00000000" w:rsidRDefault="00000000" w:rsidRPr="00000000" w14:paraId="000000B4">
            <w:pPr>
              <w:spacing w:after="0" w:lineRule="auto"/>
              <w:rPr>
                <w:i w:val="1"/>
                <w:iCs w:val="1"/>
                <w:sz w:val="22"/>
                <w:szCs w:val="22"/>
              </w:rPr>
            </w:pPr>
            <w:r w:rsidDel="00000000" w:rsidR="00000000" w:rsidRPr="00000000">
              <w:rPr>
                <w:i w:val="1"/>
                <w:iCs w:val="1"/>
                <w:sz w:val="22"/>
                <w:szCs w:val="22"/>
                <w:rtl w:val="0"/>
              </w:rPr>
              <w:t xml:space="preserve">Prunus tenella</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Salvia transsilvanica</w:t>
            </w:r>
          </w:p>
          <w:p w:rsidR="00000000" w:rsidDel="00000000" w:rsidP="00000000" w:rsidRDefault="00000000" w:rsidRPr="00000000" w14:paraId="000000B6">
            <w:pPr>
              <w:spacing w:after="0" w:lineRule="auto"/>
              <w:rPr>
                <w:i w:val="1"/>
                <w:iCs w:val="1"/>
              </w:rPr>
            </w:pPr>
            <w:r w:rsidDel="00000000" w:rsidR="00000000" w:rsidRPr="00000000">
              <w:rPr>
                <w:i w:val="1"/>
                <w:iCs w:val="1"/>
                <w:sz w:val="22"/>
                <w:szCs w:val="22"/>
                <w:rtl w:val="0"/>
              </w:rPr>
              <w:t xml:space="preserve">Scutellaria supina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300" w:lineRule="auto"/>
              <w:rPr>
                <w:sz w:val="22"/>
                <w:szCs w:val="22"/>
              </w:rPr>
            </w:pPr>
            <w:r w:rsidDel="00000000" w:rsidR="00000000" w:rsidRPr="00000000">
              <w:rPr>
                <w:sz w:val="22"/>
                <w:szCs w:val="22"/>
                <w:rtl w:val="0"/>
              </w:rPr>
              <w:t xml:space="preserve">A04.01.02. păşunatul intensiv al oilor</w:t>
            </w:r>
          </w:p>
          <w:p w:rsidR="00000000" w:rsidDel="00000000" w:rsidP="00000000" w:rsidRDefault="00000000" w:rsidRPr="00000000" w14:paraId="000000BE">
            <w:pPr>
              <w:spacing w:after="0" w:line="300" w:lineRule="auto"/>
              <w:rPr>
                <w:sz w:val="22"/>
                <w:szCs w:val="22"/>
              </w:rPr>
            </w:pPr>
            <w:r w:rsidDel="00000000" w:rsidR="00000000" w:rsidRPr="00000000">
              <w:rPr>
                <w:sz w:val="22"/>
                <w:szCs w:val="22"/>
                <w:rtl w:val="0"/>
              </w:rPr>
              <w:t xml:space="preserve">B02.01.02 - replantarea pădurii (arbori nenativi) </w:t>
            </w:r>
          </w:p>
          <w:p w:rsidR="00000000" w:rsidDel="00000000" w:rsidP="00000000" w:rsidRDefault="00000000" w:rsidRPr="00000000" w14:paraId="000000BF">
            <w:pPr>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D8">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D9">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DA">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DC">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DD">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DE">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DF">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E0">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E1">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E2">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E3">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E4">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E5">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E6">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E7">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E8">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E9">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EA">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EB">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EC">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EC">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b w:val="1"/>
          <w:bCs w:val="1"/>
          <w:sz w:val="22"/>
          <w:szCs w:val="22"/>
        </w:rPr>
      </w:pPr>
      <w:r w:rsidDel="00000000" w:rsidR="00000000" w:rsidRPr="00000000">
        <w:rPr>
          <w:rtl w:val="0"/>
        </w:rPr>
      </w:r>
    </w:p>
    <w:p w:rsidR="00000000" w:rsidDel="00000000" w:rsidP="00000000" w:rsidRDefault="00000000" w:rsidRPr="00000000" w14:paraId="000000F1">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Popescu, A., Păucă-Comănescu, M., Mihăilescu, S., Biriş, I.-A. 2005. Habitatele din România. Edit. Tehnică Silvică, Bucureşti.</w:t>
      </w:r>
    </w:p>
    <w:p w:rsidR="00000000" w:rsidDel="00000000" w:rsidP="00000000" w:rsidRDefault="00000000" w:rsidRPr="00000000" w14:paraId="000000F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Mountford, O. (Eds.), Alexiu, V., Anastasiu, P., Bărbos, M., Burescu, P., Coldea, Gh., Drăgulescu, C., Făgăraș, M., Goia, I., Groza, Gh., Micu, D., Mihăilescu, S., Moldovan, O., Nicolin, A., Niculescu, M., Oprea, A., Oroian, S., Păucă-Comănescu, M., Sârbu, I., Șuteu, A. 2008. Manual de interpretare a habitatelor Natura 2000 din România. Edit. Risoprint, Cluj-Napoca, 101 pp.</w:t>
      </w:r>
    </w:p>
    <w:p w:rsidR="00000000" w:rsidDel="00000000" w:rsidP="00000000" w:rsidRDefault="00000000" w:rsidRPr="00000000" w14:paraId="000000F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Oltean, M., Negrean, G., Popescu, A., Roman, N., Dihoru, G., Sanda, V., Mihăilescu, S. 1994. Lista Roșie a plantelor superioare din România. I. Studii, sinteze, documentații de ecologie. Edit. Academiei Române, București.</w:t>
      </w:r>
    </w:p>
    <w:p w:rsidR="00000000" w:rsidDel="00000000" w:rsidP="00000000" w:rsidRDefault="00000000" w:rsidRPr="00000000" w14:paraId="000000F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Sârbu, I., Ștefan, N., Oprea, A. 2013. Plante vasculare din România. Determinator ilustrat de teren. Edit. Victor B Victor, București.</w:t>
      </w:r>
    </w:p>
    <w:p w:rsidR="00000000" w:rsidDel="00000000" w:rsidP="00000000" w:rsidRDefault="00000000" w:rsidRPr="00000000" w14:paraId="000000F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Stăncioiu, P. T., Lazăr, G., Tudoran, G. M., Bozga, Ș. B. C., Predoiu, G., Șofletea, N. 2008. Habitatele forestiere de interes comunitar incluse în proiectul LIFE05NAT/RO/000176: Habitate prioritare alpine, subalpine şi forestiere din România. Măsuri de gospodărire. Editura Universităţii Transilvania, Brașov, 184 pp.</w:t>
      </w:r>
    </w:p>
    <w:p w:rsidR="00000000" w:rsidDel="00000000" w:rsidP="00000000" w:rsidRDefault="00000000" w:rsidRPr="00000000" w14:paraId="000000F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Candrea Bozga, Ș. B., Lazăr, G., Tudoran, G. M., Stăncioiu, P. T. 2009. Habitate forestiere de importanţă comunitară incluse în proiectul LIFE05NAT/RO/000176: „Habitate prioritare alpine, subalpine şi forestiere din România” – Monitorizarea stării de conservare.</w:t>
      </w:r>
    </w:p>
    <w:p w:rsidR="00000000" w:rsidDel="00000000" w:rsidP="00000000" w:rsidRDefault="00000000" w:rsidRPr="00000000" w14:paraId="000000F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Dihoru, G., Negrean, G. 2009. Red Book of Vascular Plants in Romania. Romanian Academy &amp; Bucharest Institute of Biology.</w:t>
      </w:r>
    </w:p>
    <w:p w:rsidR="00000000" w:rsidDel="00000000" w:rsidP="00000000" w:rsidRDefault="00000000" w:rsidRPr="00000000" w14:paraId="000000F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Ciocârlan, V. 1988. Flora ilustrată a României. Vol. 1: Determinarea și descrierea speciilor spontane și cultivate. Editura Ceres, București, 511 pp.</w:t>
      </w:r>
    </w:p>
    <w:p w:rsidR="00000000" w:rsidDel="00000000" w:rsidP="00000000" w:rsidRDefault="00000000" w:rsidRPr="00000000" w14:paraId="000000F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Sanda, V., Öllerer, K., Burescu, P. 2008. Fitocenozele din România. Sintaxonomie, structură, dinamică și evoluție.</w:t>
      </w:r>
    </w:p>
    <w:p w:rsidR="00000000" w:rsidDel="00000000" w:rsidP="00000000" w:rsidRDefault="00000000" w:rsidRPr="00000000" w14:paraId="000000F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Botnariuc, N., Tatole, V. (Eds.) 2005. Cartea Roşie a Vertebratelor din România.</w:t>
      </w:r>
    </w:p>
    <w:p w:rsidR="00000000" w:rsidDel="00000000" w:rsidP="00000000" w:rsidRDefault="00000000" w:rsidRPr="00000000" w14:paraId="000000F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Balázs, Z., et al. 2016. “Rediscovery of Cypripedium calceolus L. in the vicinity of Cluj-Napoca (Romania) after 80 years.” Contribuții Botanice, LI, 43–53.</w:t>
      </w:r>
    </w:p>
    <w:p w:rsidR="00000000" w:rsidDel="00000000" w:rsidP="00000000" w:rsidRDefault="00000000" w:rsidRPr="00000000" w14:paraId="000000F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Kovács, H. 1992. Transformările peisajului natural sub influența activității antropice în Munții Gilău. Tipo Agronomia, Cluj-Napoca.</w:t>
      </w:r>
    </w:p>
    <w:p w:rsidR="00000000" w:rsidDel="00000000" w:rsidP="00000000" w:rsidRDefault="00000000" w:rsidRPr="00000000" w14:paraId="000000F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Moldovan, I., Pazmany, D., Tucra, I., Stana, D. 1996. “Cormophytique flora from Cluj’s environs (I).” Notulae Botanicae Horti Agrobotanici Cluj-Napoca, 26(1), 7–26. https://doi.org/10.15835/nbha261284</w:t>
      </w:r>
    </w:p>
    <w:p w:rsidR="00000000" w:rsidDel="00000000" w:rsidP="00000000" w:rsidRDefault="00000000" w:rsidRPr="00000000" w14:paraId="000000F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Pop, I., Cristea, V., Hodișan, I. 2002. Vegetația județului Cluj (studiu fitocenologic, ecologic, bioeconomic și eco-protectiv). Contribuții Botanice.</w:t>
      </w:r>
    </w:p>
    <w:p w:rsidR="00000000" w:rsidDel="00000000" w:rsidP="00000000" w:rsidRDefault="00000000" w:rsidRPr="00000000" w14:paraId="0000010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Tucra, I. 1996. “New contribution to the knowledge of flora from Cluj-Napoca and county Cluj with some critical considerations.” Notulae Botanicae Horti Agrobotanici Cluj-Napoca, 26(1), 27–34. </w:t>
      </w:r>
      <w:hyperlink r:id="rId7">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https://doi.org/10.15835/nbha261285</w:t>
        </w:r>
      </w:hyperlink>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102">
      <w:pPr>
        <w:jc w:val="center"/>
        <w:rPr>
          <w:b w:val="1"/>
          <w:bCs w:val="1"/>
          <w:sz w:val="22"/>
          <w:szCs w:val="22"/>
        </w:rPr>
      </w:pPr>
      <w:r w:rsidDel="00000000" w:rsidR="00000000" w:rsidRPr="00000000">
        <w:rPr>
          <w:rtl w:val="0"/>
        </w:rPr>
      </w:r>
    </w:p>
    <w:p w:rsidR="00000000" w:rsidDel="00000000" w:rsidP="00000000" w:rsidRDefault="00000000" w:rsidRPr="00000000" w14:paraId="0000010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7 octombrie 2024 – Alba Iulia, jud. Alba; </w:t>
      </w:r>
    </w:p>
    <w:p w:rsidR="00000000" w:rsidDel="00000000" w:rsidP="00000000" w:rsidRDefault="00000000" w:rsidRPr="00000000" w14:paraId="000001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27 ianuarie 2026 cu factorii interesați din județul Alba și în perioada 7-8 aprilie 2026 fizic la Prefectura Alba.</w:t>
      </w:r>
    </w:p>
    <w:p w:rsidR="00000000" w:rsidDel="00000000" w:rsidP="00000000" w:rsidRDefault="00000000" w:rsidRPr="00000000" w14:paraId="00000108">
      <w:pPr>
        <w:rPr>
          <w:b w:val="1"/>
          <w:bCs w:val="1"/>
          <w:sz w:val="22"/>
          <w:szCs w:val="22"/>
        </w:rPr>
      </w:pPr>
      <w:r w:rsidDel="00000000" w:rsidR="00000000" w:rsidRPr="00000000">
        <w:rPr>
          <w:rtl w:val="0"/>
        </w:rPr>
      </w:r>
    </w:p>
    <w:p w:rsidR="00000000" w:rsidDel="00000000" w:rsidP="00000000" w:rsidRDefault="00000000" w:rsidRPr="00000000" w14:paraId="00000109">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0A">
      <w:pPr>
        <w:jc w:val="center"/>
        <w:rPr/>
      </w:pPr>
      <w:r w:rsidDel="00000000" w:rsidR="00000000" w:rsidRPr="00000000">
        <w:rPr>
          <w:rtl w:val="0"/>
        </w:rPr>
      </w:r>
    </w:p>
    <w:p w:rsidR="00000000" w:rsidDel="00000000" w:rsidP="00000000" w:rsidRDefault="00000000" w:rsidRPr="00000000" w14:paraId="0000010B">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C">
      <w:pPr>
        <w:rPr/>
      </w:pPr>
      <w:r w:rsidDel="00000000" w:rsidR="00000000" w:rsidRPr="00000000">
        <w:rPr>
          <w:sz w:val="22"/>
          <w:szCs w:val="22"/>
          <w:rtl w:val="0"/>
        </w:rPr>
        <w:t xml:space="preserve">Link: </w:t>
      </w:r>
      <w:hyperlink r:id="rId8">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i.org/10.15835/nbha261285" TargetMode="External"/><Relationship Id="rId8"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KNAJMGROjpp3sT86wtc04N3ADA==">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TWFpbmJKcTR6TmRyVmd1TE1KSmJ1MVp2M290cUcyM0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